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81" w:rsidRDefault="00695481" w:rsidP="0060257F">
      <w:pPr>
        <w:pStyle w:val="1"/>
        <w:spacing w:before="0" w:line="240" w:lineRule="auto"/>
        <w:jc w:val="right"/>
        <w:rPr>
          <w:rFonts w:cs="Times New Roman"/>
          <w:szCs w:val="24"/>
        </w:rPr>
      </w:pPr>
    </w:p>
    <w:p w:rsidR="00695481" w:rsidRDefault="00695481" w:rsidP="0060257F">
      <w:pPr>
        <w:pStyle w:val="1"/>
        <w:spacing w:before="0" w:line="240" w:lineRule="auto"/>
        <w:jc w:val="right"/>
        <w:rPr>
          <w:rFonts w:cs="Times New Roman"/>
          <w:szCs w:val="24"/>
        </w:rPr>
      </w:pPr>
    </w:p>
    <w:p w:rsidR="00695481" w:rsidRDefault="00695481" w:rsidP="0060257F">
      <w:pPr>
        <w:pStyle w:val="1"/>
        <w:spacing w:before="0" w:line="240" w:lineRule="auto"/>
        <w:jc w:val="right"/>
        <w:rPr>
          <w:rFonts w:cs="Times New Roman"/>
          <w:szCs w:val="24"/>
        </w:rPr>
      </w:pPr>
    </w:p>
    <w:p w:rsidR="0060257F" w:rsidRPr="00AA74EE" w:rsidRDefault="0060257F" w:rsidP="0060257F">
      <w:pPr>
        <w:pStyle w:val="1"/>
        <w:spacing w:before="0" w:line="240" w:lineRule="auto"/>
        <w:jc w:val="right"/>
        <w:rPr>
          <w:rFonts w:cs="Times New Roman"/>
          <w:szCs w:val="24"/>
        </w:rPr>
      </w:pPr>
      <w:r w:rsidRPr="00AA74EE">
        <w:rPr>
          <w:rFonts w:cs="Times New Roman"/>
          <w:szCs w:val="24"/>
        </w:rPr>
        <w:t>Приложение № И8</w:t>
      </w:r>
    </w:p>
    <w:p w:rsidR="00AA74EE" w:rsidRDefault="0060257F" w:rsidP="0060257F">
      <w:pPr>
        <w:pStyle w:val="1"/>
        <w:spacing w:before="0" w:line="240" w:lineRule="auto"/>
        <w:jc w:val="right"/>
        <w:rPr>
          <w:rFonts w:cs="Times New Roman"/>
          <w:szCs w:val="24"/>
        </w:rPr>
      </w:pPr>
      <w:r w:rsidRPr="00AA74EE">
        <w:rPr>
          <w:rFonts w:cs="Times New Roman"/>
          <w:szCs w:val="24"/>
        </w:rPr>
        <w:t>към Условия за кандидатстване/</w:t>
      </w:r>
    </w:p>
    <w:p w:rsidR="004F59F4" w:rsidRPr="00AA74EE" w:rsidRDefault="0060257F" w:rsidP="0060257F">
      <w:pPr>
        <w:pStyle w:val="1"/>
        <w:spacing w:before="0" w:line="240" w:lineRule="auto"/>
        <w:jc w:val="right"/>
        <w:rPr>
          <w:rFonts w:cs="Times New Roman"/>
          <w:szCs w:val="24"/>
        </w:rPr>
      </w:pPr>
      <w:r w:rsidRPr="00AA74EE">
        <w:rPr>
          <w:rFonts w:cs="Times New Roman"/>
          <w:szCs w:val="24"/>
        </w:rPr>
        <w:t>Документи за информация</w:t>
      </w:r>
    </w:p>
    <w:p w:rsidR="004F59F4" w:rsidRPr="00AA74EE" w:rsidRDefault="004F59F4" w:rsidP="004F59F4">
      <w:pPr>
        <w:rPr>
          <w:rFonts w:ascii="Times New Roman" w:hAnsi="Times New Roman" w:cs="Times New Roman"/>
          <w:sz w:val="24"/>
          <w:szCs w:val="24"/>
        </w:rPr>
      </w:pPr>
    </w:p>
    <w:p w:rsidR="00E12655" w:rsidRPr="00AA74EE" w:rsidRDefault="0060257F" w:rsidP="00E126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EE">
        <w:rPr>
          <w:rFonts w:ascii="Times New Roman" w:hAnsi="Times New Roman" w:cs="Times New Roman"/>
          <w:b/>
          <w:sz w:val="24"/>
          <w:szCs w:val="24"/>
        </w:rPr>
        <w:t>ОБЯСНИТЕЛНИ БЕЛЕЖКИ</w:t>
      </w:r>
    </w:p>
    <w:p w:rsidR="00E12655" w:rsidRPr="00AA74EE" w:rsidRDefault="00E12655" w:rsidP="00E126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EE">
        <w:rPr>
          <w:rFonts w:ascii="Times New Roman" w:hAnsi="Times New Roman" w:cs="Times New Roman"/>
          <w:b/>
          <w:sz w:val="24"/>
          <w:szCs w:val="24"/>
        </w:rPr>
        <w:t>ИЗПОЛЗВАНИ СЪКРАЩЕНИЯ И ОСНОВНИ ДЕФИНИЦИИ</w:t>
      </w:r>
    </w:p>
    <w:p w:rsidR="00E12655" w:rsidRPr="00AA74EE" w:rsidRDefault="00E12655" w:rsidP="00E1265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655" w:rsidRPr="00AA74EE" w:rsidRDefault="00E12655" w:rsidP="00E1265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4EE">
        <w:rPr>
          <w:rFonts w:ascii="Times New Roman" w:hAnsi="Times New Roman" w:cs="Times New Roman"/>
          <w:b/>
          <w:sz w:val="24"/>
          <w:szCs w:val="24"/>
        </w:rPr>
        <w:t>По смисъла на условията за кандидатстване и условията за изпълнение: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 xml:space="preserve">1. „Административно съответствие“  е съответствие с формалните изисквания към документите, които включват: срок на подаване, </w:t>
      </w:r>
      <w:proofErr w:type="spellStart"/>
      <w:r w:rsidRPr="00AA74EE">
        <w:rPr>
          <w:rFonts w:ascii="Times New Roman" w:hAnsi="Times New Roman" w:cs="Times New Roman"/>
          <w:sz w:val="24"/>
          <w:szCs w:val="24"/>
        </w:rPr>
        <w:t>комплектованост</w:t>
      </w:r>
      <w:proofErr w:type="spellEnd"/>
      <w:r w:rsidRPr="00AA74EE">
        <w:rPr>
          <w:rFonts w:ascii="Times New Roman" w:hAnsi="Times New Roman" w:cs="Times New Roman"/>
          <w:sz w:val="24"/>
          <w:szCs w:val="24"/>
        </w:rPr>
        <w:t>, спазване на изискуемата форма, валидност и други, определени в насоките за кандидатстване по съответната процедура.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 xml:space="preserve">2. „Актив" е материален или нематериален актив по смисъла на Регламент (ЕС) № 651/2014 на Европейската комисия от 17 юни 2014 г. за обявяване на някои категории помощи за съвместими с вътрешния пазар в приложение на членове 107 и 108 от Договора (ОВ, L, бр. 187 от 26 юни 2014 г.). </w:t>
      </w:r>
    </w:p>
    <w:p w:rsidR="00A62C55" w:rsidRPr="00AA74EE" w:rsidRDefault="00A62C55" w:rsidP="00A62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A74EE">
        <w:rPr>
          <w:rFonts w:ascii="Times New Roman" w:hAnsi="Times New Roman" w:cs="Times New Roman"/>
          <w:sz w:val="24"/>
          <w:szCs w:val="24"/>
        </w:rPr>
        <w:t xml:space="preserve">„Асоцииран партньор“ е партньор по смисъла на § 1 от Допълнителните разпоредби на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</w:t>
      </w:r>
      <w:proofErr w:type="gramStart"/>
      <w:r w:rsidRPr="00AA74EE">
        <w:rPr>
          <w:rFonts w:ascii="Times New Roman" w:hAnsi="Times New Roman" w:cs="Times New Roman"/>
          <w:sz w:val="24"/>
          <w:szCs w:val="24"/>
        </w:rPr>
        <w:t>за периода</w:t>
      </w:r>
      <w:proofErr w:type="gramEnd"/>
      <w:r w:rsidRPr="00AA74EE">
        <w:rPr>
          <w:rFonts w:ascii="Times New Roman" w:hAnsi="Times New Roman" w:cs="Times New Roman"/>
          <w:sz w:val="24"/>
          <w:szCs w:val="24"/>
        </w:rPr>
        <w:t xml:space="preserve"> 2014 – 2020 г.</w:t>
      </w:r>
    </w:p>
    <w:p w:rsidR="00A62C55" w:rsidRPr="00AA74EE" w:rsidRDefault="00A62C55" w:rsidP="00A62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4. „Бенефициент“ е кандидат, със сключен административен договор за предоставяне на безвъзмездна финансова помощ по реда на Условията за кандидатстване.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„Възстановим ДДС" е ДДС, подлежащ на възстановяване от компетентен орган по приходите съгласно разпоредбите на ЗДДС, и представлява недопустим разход по тази наредба. </w:t>
      </w:r>
    </w:p>
    <w:p w:rsidR="003000DE" w:rsidRPr="003000DE" w:rsidRDefault="00AA74EE" w:rsidP="00300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</w:t>
      </w:r>
      <w:r w:rsidR="00A62C55" w:rsidRPr="00AA74EE">
        <w:rPr>
          <w:rFonts w:ascii="Times New Roman" w:hAnsi="Times New Roman" w:cs="Times New Roman"/>
          <w:sz w:val="24"/>
          <w:szCs w:val="24"/>
        </w:rPr>
        <w:t xml:space="preserve">„Изкуствено създадени условия“ </w:t>
      </w:r>
      <w:r w:rsidR="003000DE" w:rsidRPr="003000DE">
        <w:rPr>
          <w:rFonts w:ascii="Times New Roman" w:hAnsi="Times New Roman" w:cs="Times New Roman"/>
          <w:sz w:val="24"/>
          <w:szCs w:val="24"/>
        </w:rPr>
        <w:t>е всяко установено условие по смисъла на чл. 60 от 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Съвета;</w:t>
      </w:r>
    </w:p>
    <w:p w:rsidR="003000DE" w:rsidRDefault="003000D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„Инвестиция" или „инвестиционни разходи" са средствата, вложени за придобиване на активи, включително услугите по придобиването им.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„Интензитет на помощта" е съотношението на публичното финансиране спрямо допустимите разходи по проекта, изразено в процент.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„Кандидат" е лице, подало проектно предложение към стратегия за ВОМР.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12655" w:rsidRPr="00AA74EE">
        <w:rPr>
          <w:rFonts w:ascii="Times New Roman" w:hAnsi="Times New Roman" w:cs="Times New Roman"/>
          <w:sz w:val="24"/>
          <w:szCs w:val="24"/>
        </w:rPr>
        <w:t>. „Мярка"/„</w:t>
      </w:r>
      <w:proofErr w:type="spellStart"/>
      <w:r w:rsidR="00E12655" w:rsidRPr="00AA74EE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E12655" w:rsidRPr="00AA74EE">
        <w:rPr>
          <w:rFonts w:ascii="Times New Roman" w:hAnsi="Times New Roman" w:cs="Times New Roman"/>
          <w:sz w:val="24"/>
          <w:szCs w:val="24"/>
        </w:rPr>
        <w:t xml:space="preserve">"/ е съвкупност от дейности, спомагащи за прилагане приоритетите на Стратегията за ВОМР на МИГ и/или на ПРСР 2014 - 2020 г.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„Невъзстановим ДДС" е ДДС, </w:t>
      </w:r>
      <w:proofErr w:type="spellStart"/>
      <w:r w:rsidR="00E12655" w:rsidRPr="00AA74EE">
        <w:rPr>
          <w:rFonts w:ascii="Times New Roman" w:hAnsi="Times New Roman" w:cs="Times New Roman"/>
          <w:sz w:val="24"/>
          <w:szCs w:val="24"/>
        </w:rPr>
        <w:t>неподлежащ</w:t>
      </w:r>
      <w:proofErr w:type="spellEnd"/>
      <w:r w:rsidR="00E12655" w:rsidRPr="00AA74EE">
        <w:rPr>
          <w:rFonts w:ascii="Times New Roman" w:hAnsi="Times New Roman" w:cs="Times New Roman"/>
          <w:sz w:val="24"/>
          <w:szCs w:val="24"/>
        </w:rPr>
        <w:t xml:space="preserve"> на възстановяване от компетентен орган по приходите съгласно разпоредбите на ЗДДС, и представлява допустим разход по тази наредба. 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2</w:t>
      </w:r>
      <w:r w:rsidRPr="00AA74EE">
        <w:rPr>
          <w:rFonts w:ascii="Times New Roman" w:hAnsi="Times New Roman" w:cs="Times New Roman"/>
          <w:sz w:val="24"/>
          <w:szCs w:val="24"/>
        </w:rPr>
        <w:t xml:space="preserve">. „Нередност" е понятие по смисъла на чл. 2, параграф 1, т. 36 от Регламент № 1303/2013 г. 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3</w:t>
      </w:r>
      <w:r w:rsidRPr="00AA74EE">
        <w:rPr>
          <w:rFonts w:ascii="Times New Roman" w:hAnsi="Times New Roman" w:cs="Times New Roman"/>
          <w:sz w:val="24"/>
          <w:szCs w:val="24"/>
        </w:rPr>
        <w:t>. „</w:t>
      </w:r>
      <w:proofErr w:type="spellStart"/>
      <w:r w:rsidRPr="00AA74EE">
        <w:rPr>
          <w:rFonts w:ascii="Times New Roman" w:hAnsi="Times New Roman" w:cs="Times New Roman"/>
          <w:sz w:val="24"/>
          <w:szCs w:val="24"/>
        </w:rPr>
        <w:t>Неопреодолима</w:t>
      </w:r>
      <w:proofErr w:type="spellEnd"/>
      <w:r w:rsidRPr="00AA74EE">
        <w:rPr>
          <w:rFonts w:ascii="Times New Roman" w:hAnsi="Times New Roman" w:cs="Times New Roman"/>
          <w:sz w:val="24"/>
          <w:szCs w:val="24"/>
        </w:rPr>
        <w:t xml:space="preserve"> сила или извънредно обстоятелство" е понятие по смисъла на чл. 2, параграф 2 от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(ОВ, L, бр. 347 от 20 декември 2013 г.). 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4</w:t>
      </w:r>
      <w:r w:rsidRPr="00AA74EE">
        <w:rPr>
          <w:rFonts w:ascii="Times New Roman" w:hAnsi="Times New Roman" w:cs="Times New Roman"/>
          <w:sz w:val="24"/>
          <w:szCs w:val="24"/>
        </w:rPr>
        <w:t xml:space="preserve">. </w:t>
      </w:r>
      <w:r w:rsidRPr="00AA74EE">
        <w:rPr>
          <w:rFonts w:ascii="Times New Roman" w:hAnsi="Times New Roman" w:cs="Times New Roman"/>
          <w:b/>
          <w:sz w:val="24"/>
          <w:szCs w:val="24"/>
        </w:rPr>
        <w:t>„Независими оферти“</w:t>
      </w:r>
      <w:r w:rsidRPr="00AA74EE">
        <w:rPr>
          <w:rFonts w:ascii="Times New Roman" w:hAnsi="Times New Roman" w:cs="Times New Roman"/>
          <w:sz w:val="24"/>
          <w:szCs w:val="24"/>
        </w:rPr>
        <w:t xml:space="preserve"> са оферти, подадени от лица, които не се намират в следната свързаност помежду си или спрямо кандидата: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а) едното участва в управлението на дружеството на другото;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б) съдружници;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в) съвместно контролират пряко трето лице;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г)  участват 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д) едното лице притежава повече от половината от броя на гласовете в общото събрание на другото лице;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 xml:space="preserve">е)  лицата,  чиято  дейност се контролира пряко или косвено от трето лице – физическо или юридическо; 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ж)лицата, едното от които е търговски представител на другото.</w:t>
      </w:r>
    </w:p>
    <w:p w:rsidR="009B23CB" w:rsidRPr="00AA74EE" w:rsidRDefault="009B23CB" w:rsidP="009B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5</w:t>
      </w:r>
      <w:r w:rsidRPr="00AA74EE">
        <w:rPr>
          <w:rFonts w:ascii="Times New Roman" w:hAnsi="Times New Roman" w:cs="Times New Roman"/>
          <w:sz w:val="24"/>
          <w:szCs w:val="24"/>
        </w:rPr>
        <w:t>. „Неикономически дейности“ са дейностите по проектите за сътрудничество, различни от определенията за „предприятие“ и „стопанска дейност“ в Известие на Комисията относно понятието за държавна помощ, посочено в член 107, параграф 1 от ДФЕС (2016/С262/01).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6</w:t>
      </w:r>
      <w:r w:rsidRPr="00AA74EE">
        <w:rPr>
          <w:rFonts w:ascii="Times New Roman" w:hAnsi="Times New Roman" w:cs="Times New Roman"/>
          <w:sz w:val="24"/>
          <w:szCs w:val="24"/>
        </w:rPr>
        <w:t xml:space="preserve">. „Обикновена подмяна" е замяна на дълготраен актив с друг, която не води до качествени или количествени изменения на произведения продукт. 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7</w:t>
      </w:r>
      <w:r w:rsidRPr="00AA74EE">
        <w:rPr>
          <w:rFonts w:ascii="Times New Roman" w:hAnsi="Times New Roman" w:cs="Times New Roman"/>
          <w:sz w:val="24"/>
          <w:szCs w:val="24"/>
        </w:rPr>
        <w:t xml:space="preserve">. „Обособена част от проекта" е завършен етап на изпълнение на проекта, който е обособен и е доведен до самостоятелна степен на завършеност. 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8</w:t>
      </w:r>
      <w:r w:rsidRPr="00AA74EE">
        <w:rPr>
          <w:rFonts w:ascii="Times New Roman" w:hAnsi="Times New Roman" w:cs="Times New Roman"/>
          <w:sz w:val="24"/>
          <w:szCs w:val="24"/>
        </w:rPr>
        <w:t>. „Операция" е понятие по смисъла на чл. 2, т. 9 от Регламент (ЕС) № 1303/2013.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1</w:t>
      </w:r>
      <w:r w:rsidR="00AA74EE">
        <w:rPr>
          <w:rFonts w:ascii="Times New Roman" w:hAnsi="Times New Roman" w:cs="Times New Roman"/>
          <w:sz w:val="24"/>
          <w:szCs w:val="24"/>
        </w:rPr>
        <w:t>9</w:t>
      </w:r>
      <w:r w:rsidRPr="00AA74EE">
        <w:rPr>
          <w:rFonts w:ascii="Times New Roman" w:hAnsi="Times New Roman" w:cs="Times New Roman"/>
          <w:sz w:val="24"/>
          <w:szCs w:val="24"/>
        </w:rPr>
        <w:t xml:space="preserve">. „Очевидна грешка" е писмена грешка, грешка в пресмятането или други подобни очевидни неточности, която може да бъде непосредствено установена при техническа проверка на информацията, съдържаща се в документите.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„Получател на финансова помощ" е бенефициент по смисъла на Закона за управление на средствата от Европейските структурни и инвестиционни фондове.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„Проверка на място" е проверка по смисъла на Регламент (ЕО) № 809/2014.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„Продължителност на неизпълнение" се преценява съобразно времето, през което траят последиците или възможността за отстраняване на тези последици по приемлив за успешното изпълнение на проекта начин.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E12655" w:rsidRPr="00AA74EE">
        <w:rPr>
          <w:rFonts w:ascii="Times New Roman" w:hAnsi="Times New Roman" w:cs="Times New Roman"/>
          <w:sz w:val="24"/>
          <w:szCs w:val="24"/>
        </w:rPr>
        <w:t>. „Проект" е специфичен набор от координирани дейности, които се предприемат от кандидата за постигане на конкретни цели в определен период от време с определен бюджет. Проектно предложение, вкл. Формуляр за кандидатстване заедно с всички изискуеми документи, както и съвкупността от материални и нематериални активи и свързаните с тях разходи, заявени от кандидата и допустими за финансиране по ПРСР 2014 - 2020 г.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„Публичен принос" е общият сбор от средствата, отпускани за финансиране дейностите по стратегията за ВОМР от ЕЗФРСР, ЕФРР, ЕСФ, ЕФМДР и от националното съфинансиране.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„Референтни разходи" са пазарни цени, ползвани от ДФЗ за сравнение при определяне основателността на разхода за различни инвестиции и/или общи разходи, определени чрез сравнение с цени на националния пазар или в други държави - членки на Европейския съюз. 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2</w:t>
      </w:r>
      <w:r w:rsidR="00AA74EE">
        <w:rPr>
          <w:rFonts w:ascii="Times New Roman" w:hAnsi="Times New Roman" w:cs="Times New Roman"/>
          <w:sz w:val="24"/>
          <w:szCs w:val="24"/>
        </w:rPr>
        <w:t>6</w:t>
      </w:r>
      <w:r w:rsidRPr="00AA74EE">
        <w:rPr>
          <w:rFonts w:ascii="Times New Roman" w:hAnsi="Times New Roman" w:cs="Times New Roman"/>
          <w:sz w:val="24"/>
          <w:szCs w:val="24"/>
        </w:rPr>
        <w:t>. „Степен на неизпълнение" на проекта се преценява съобразно последствията от неизпълнение на дейността и отражението върху целия проект и/или неизпълнението на определените в проекта индикатори.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2</w:t>
      </w:r>
      <w:r w:rsidR="00AA74EE">
        <w:rPr>
          <w:rFonts w:ascii="Times New Roman" w:hAnsi="Times New Roman" w:cs="Times New Roman"/>
          <w:sz w:val="24"/>
          <w:szCs w:val="24"/>
        </w:rPr>
        <w:t>7</w:t>
      </w:r>
      <w:r w:rsidRPr="00AA74EE">
        <w:rPr>
          <w:rFonts w:ascii="Times New Roman" w:hAnsi="Times New Roman" w:cs="Times New Roman"/>
          <w:sz w:val="24"/>
          <w:szCs w:val="24"/>
        </w:rPr>
        <w:t xml:space="preserve">. „Съществено нарушение" е нарушение, което ако не е било допуснато, би довело до различен резултат при подбора на проекти. </w:t>
      </w:r>
    </w:p>
    <w:p w:rsidR="00E12655" w:rsidRPr="00AA74EE" w:rsidRDefault="00E12655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4EE">
        <w:rPr>
          <w:rFonts w:ascii="Times New Roman" w:hAnsi="Times New Roman" w:cs="Times New Roman"/>
          <w:sz w:val="24"/>
          <w:szCs w:val="24"/>
        </w:rPr>
        <w:t>2</w:t>
      </w:r>
      <w:r w:rsidR="00AA74EE">
        <w:rPr>
          <w:rFonts w:ascii="Times New Roman" w:hAnsi="Times New Roman" w:cs="Times New Roman"/>
          <w:sz w:val="24"/>
          <w:szCs w:val="24"/>
        </w:rPr>
        <w:t>8</w:t>
      </w:r>
      <w:r w:rsidRPr="00AA74EE">
        <w:rPr>
          <w:rFonts w:ascii="Times New Roman" w:hAnsi="Times New Roman" w:cs="Times New Roman"/>
          <w:sz w:val="24"/>
          <w:szCs w:val="24"/>
        </w:rPr>
        <w:t xml:space="preserve">. „Обем на договора" е стойността на изплатената по договора финансова помощ.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E12655" w:rsidRPr="00AA74EE">
        <w:rPr>
          <w:rFonts w:ascii="Times New Roman" w:hAnsi="Times New Roman" w:cs="Times New Roman"/>
          <w:sz w:val="24"/>
          <w:szCs w:val="24"/>
        </w:rPr>
        <w:t xml:space="preserve">. „Финансова помощ" е безвъзмездна финансова помощ по смисъла на Закона за управление на средствата от Европейските структурни и инвестиционни фондове. 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E12655" w:rsidRPr="00AA74EE">
        <w:rPr>
          <w:rFonts w:ascii="Times New Roman" w:hAnsi="Times New Roman" w:cs="Times New Roman"/>
          <w:sz w:val="24"/>
          <w:szCs w:val="24"/>
        </w:rPr>
        <w:t>. Изчисленията за определяне на сумите по СВОМР за територията на МИГ –Разлог се определят по курс 1,9558 лева за 1 евро.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</w:t>
      </w:r>
      <w:r w:rsidR="00E12655" w:rsidRPr="00AA74EE">
        <w:rPr>
          <w:rFonts w:ascii="Times New Roman" w:hAnsi="Times New Roman" w:cs="Times New Roman"/>
          <w:bCs/>
          <w:sz w:val="24"/>
          <w:szCs w:val="24"/>
        </w:rPr>
        <w:t>.</w:t>
      </w:r>
      <w:r w:rsidR="00E12655" w:rsidRPr="00AA7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655" w:rsidRPr="00AA74EE">
        <w:rPr>
          <w:rFonts w:ascii="Times New Roman" w:hAnsi="Times New Roman" w:cs="Times New Roman"/>
          <w:bCs/>
          <w:sz w:val="24"/>
          <w:szCs w:val="24"/>
        </w:rPr>
        <w:t>„Качество на проектното съдържание“</w:t>
      </w:r>
      <w:r w:rsidR="00E12655" w:rsidRPr="00AA7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655" w:rsidRPr="00AA74EE">
        <w:rPr>
          <w:rFonts w:ascii="Times New Roman" w:hAnsi="Times New Roman" w:cs="Times New Roman"/>
          <w:bCs/>
          <w:iCs/>
          <w:sz w:val="24"/>
          <w:szCs w:val="24"/>
        </w:rPr>
        <w:t>е, че не трябва да се допуска създаване на условия и предпоставки за подобряване на съществени елементи в първоначално подаденото проектно предложение, които подлежат на оценка по предварително зададени критерии.</w:t>
      </w:r>
    </w:p>
    <w:p w:rsidR="00E12655" w:rsidRPr="00AA74EE" w:rsidRDefault="00AA74EE" w:rsidP="00E1265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lcapt2"/>
          <w:rFonts w:ascii="Times New Roman" w:hAnsi="Times New Roman"/>
          <w:i w:val="0"/>
          <w:color w:val="000000"/>
          <w:sz w:val="24"/>
          <w:szCs w:val="24"/>
        </w:rPr>
        <w:t>32</w:t>
      </w:r>
      <w:r w:rsidR="00E12655" w:rsidRPr="00AA74EE">
        <w:rPr>
          <w:rStyle w:val="alcapt2"/>
          <w:rFonts w:ascii="Times New Roman" w:hAnsi="Times New Roman"/>
          <w:i w:val="0"/>
          <w:color w:val="000000"/>
          <w:sz w:val="24"/>
          <w:szCs w:val="24"/>
        </w:rPr>
        <w:t xml:space="preserve">. </w:t>
      </w:r>
      <w:r w:rsidR="00E12655" w:rsidRPr="00AA74EE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E12655" w:rsidRPr="00AA74EE">
        <w:rPr>
          <w:rStyle w:val="ldef2"/>
          <w:rFonts w:ascii="Times New Roman" w:hAnsi="Times New Roman"/>
          <w:sz w:val="24"/>
          <w:szCs w:val="24"/>
        </w:rPr>
        <w:t>Уникален идентификационен номер</w:t>
      </w:r>
      <w:r w:rsidR="00E12655" w:rsidRPr="00AA74EE">
        <w:rPr>
          <w:rFonts w:ascii="Times New Roman" w:hAnsi="Times New Roman" w:cs="Times New Roman"/>
          <w:color w:val="000000"/>
          <w:sz w:val="24"/>
          <w:szCs w:val="24"/>
        </w:rPr>
        <w:t>" е регистрационен номер в ИСАК.</w:t>
      </w:r>
    </w:p>
    <w:p w:rsidR="00272EE2" w:rsidRPr="00695481" w:rsidRDefault="00AA74EE" w:rsidP="0069548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lcapt2"/>
          <w:rFonts w:ascii="Times New Roman" w:hAnsi="Times New Roman"/>
          <w:i w:val="0"/>
          <w:color w:val="000000"/>
          <w:sz w:val="24"/>
          <w:szCs w:val="24"/>
        </w:rPr>
        <w:t>33</w:t>
      </w:r>
      <w:r w:rsidR="00E12655" w:rsidRPr="00AA74EE">
        <w:rPr>
          <w:rStyle w:val="alcapt2"/>
          <w:rFonts w:ascii="Times New Roman" w:hAnsi="Times New Roman"/>
          <w:i w:val="0"/>
          <w:color w:val="000000"/>
          <w:sz w:val="24"/>
          <w:szCs w:val="24"/>
        </w:rPr>
        <w:t>.</w:t>
      </w:r>
      <w:r w:rsidR="00E12655" w:rsidRPr="00AA74EE">
        <w:rPr>
          <w:rFonts w:ascii="Times New Roman" w:hAnsi="Times New Roman" w:cs="Times New Roman"/>
          <w:color w:val="000000"/>
          <w:sz w:val="24"/>
          <w:szCs w:val="24"/>
        </w:rPr>
        <w:t xml:space="preserve"> „</w:t>
      </w:r>
      <w:r w:rsidR="00E12655" w:rsidRPr="00AA74EE">
        <w:rPr>
          <w:rStyle w:val="ldef2"/>
          <w:rFonts w:ascii="Times New Roman" w:hAnsi="Times New Roman"/>
          <w:sz w:val="24"/>
          <w:szCs w:val="24"/>
        </w:rPr>
        <w:t>Частичен отказ за финансиране</w:t>
      </w:r>
      <w:r w:rsidR="00E12655" w:rsidRPr="00AA74EE">
        <w:rPr>
          <w:rFonts w:ascii="Times New Roman" w:hAnsi="Times New Roman" w:cs="Times New Roman"/>
          <w:color w:val="000000"/>
          <w:sz w:val="24"/>
          <w:szCs w:val="24"/>
        </w:rPr>
        <w:t>" е отказът да се финансират част от заявените разходи на кандидата, които са включени в проект, одобрен за под</w:t>
      </w:r>
      <w:r w:rsidR="00695481">
        <w:rPr>
          <w:rFonts w:ascii="Times New Roman" w:hAnsi="Times New Roman" w:cs="Times New Roman"/>
          <w:color w:val="000000"/>
          <w:sz w:val="24"/>
          <w:szCs w:val="24"/>
        </w:rPr>
        <w:t>помагане по ПРСР 2014 - 2020 г.</w:t>
      </w:r>
      <w:bookmarkStart w:id="0" w:name="_GoBack"/>
      <w:bookmarkEnd w:id="0"/>
    </w:p>
    <w:sectPr w:rsidR="00272EE2" w:rsidRPr="00695481" w:rsidSect="004119AA">
      <w:headerReference w:type="default" r:id="rId7"/>
      <w:pgSz w:w="11906" w:h="16838"/>
      <w:pgMar w:top="680" w:right="1797" w:bottom="1077" w:left="12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C87" w:rsidRDefault="002B3C87" w:rsidP="004F59F4">
      <w:pPr>
        <w:spacing w:after="0" w:line="240" w:lineRule="auto"/>
      </w:pPr>
      <w:r>
        <w:separator/>
      </w:r>
    </w:p>
  </w:endnote>
  <w:endnote w:type="continuationSeparator" w:id="0">
    <w:p w:rsidR="002B3C87" w:rsidRDefault="002B3C87" w:rsidP="004F5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C87" w:rsidRDefault="002B3C87" w:rsidP="004F59F4">
      <w:pPr>
        <w:spacing w:after="0" w:line="240" w:lineRule="auto"/>
      </w:pPr>
      <w:r>
        <w:separator/>
      </w:r>
    </w:p>
  </w:footnote>
  <w:footnote w:type="continuationSeparator" w:id="0">
    <w:p w:rsidR="002B3C87" w:rsidRDefault="002B3C87" w:rsidP="004F5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81" w:rsidRPr="00F13564" w:rsidRDefault="00695481" w:rsidP="00695481">
    <w:pPr>
      <w:spacing w:line="240" w:lineRule="auto"/>
    </w:pPr>
    <w:r w:rsidRPr="00F13564">
      <w:rPr>
        <w:noProof/>
        <w:lang w:eastAsia="bg-BG"/>
      </w:rPr>
      <w:drawing>
        <wp:inline distT="0" distB="0" distL="0" distR="0">
          <wp:extent cx="641985" cy="501015"/>
          <wp:effectExtent l="0" t="0" r="5715" b="0"/>
          <wp:docPr id="4" name="Картина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i/>
        <w:noProof/>
        <w:lang w:eastAsia="bg-BG"/>
      </w:rPr>
      <w:drawing>
        <wp:inline distT="0" distB="0" distL="0" distR="0">
          <wp:extent cx="615315" cy="483870"/>
          <wp:effectExtent l="19050" t="19050" r="13335" b="11430"/>
          <wp:docPr id="3" name="Картина 3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13564">
      <w:rPr>
        <w:noProof/>
        <w:lang w:eastAsia="bg-BG"/>
      </w:rPr>
      <w:drawing>
        <wp:inline distT="0" distB="0" distL="0" distR="0">
          <wp:extent cx="814070" cy="455295"/>
          <wp:effectExtent l="0" t="0" r="5080" b="1905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eastAsia="bg-BG"/>
      </w:rPr>
      <w:drawing>
        <wp:inline distT="0" distB="0" distL="0" distR="0">
          <wp:extent cx="866140" cy="476250"/>
          <wp:effectExtent l="0" t="0" r="0" b="0"/>
          <wp:docPr id="6" name="Картина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noProof/>
        <w:color w:val="000000"/>
        <w:sz w:val="18"/>
        <w:szCs w:val="18"/>
        <w:lang w:eastAsia="bg-BG"/>
      </w:rPr>
      <w:drawing>
        <wp:inline distT="0" distB="0" distL="0" distR="0">
          <wp:extent cx="1002030" cy="413385"/>
          <wp:effectExtent l="0" t="0" r="7620" b="571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eastAsia="bg-BG"/>
      </w:rPr>
      <w:drawing>
        <wp:inline distT="0" distB="0" distL="0" distR="0">
          <wp:extent cx="993775" cy="474980"/>
          <wp:effectExtent l="0" t="0" r="0" b="1270"/>
          <wp:docPr id="1" name="Картина 1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eastAsia="bg-BG"/>
      </w:rPr>
      <w:drawing>
        <wp:inline distT="0" distB="0" distL="0" distR="0">
          <wp:extent cx="485775" cy="489585"/>
          <wp:effectExtent l="0" t="0" r="9525" b="5715"/>
          <wp:docPr id="5" name="Картина 5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95481" w:rsidRPr="00F13564" w:rsidRDefault="00695481" w:rsidP="00695481">
    <w:pPr>
      <w:widowControl w:val="0"/>
      <w:autoSpaceDE w:val="0"/>
      <w:autoSpaceDN w:val="0"/>
      <w:adjustRightInd w:val="0"/>
      <w:spacing w:line="240" w:lineRule="auto"/>
      <w:rPr>
        <w:b/>
        <w:sz w:val="12"/>
        <w:szCs w:val="12"/>
        <w:highlight w:val="white"/>
        <w:shd w:val="clear" w:color="auto" w:fill="FEFEFE"/>
        <w:lang w:val="ru-RU"/>
      </w:rPr>
    </w:pPr>
    <w:r w:rsidRPr="00F13564">
      <w:rPr>
        <w:b/>
        <w:sz w:val="12"/>
        <w:szCs w:val="12"/>
        <w:shd w:val="clear" w:color="auto" w:fill="FEFEFE"/>
        <w:lang w:val="ru-RU"/>
      </w:rPr>
      <w:t xml:space="preserve">  “</w:t>
    </w:r>
    <w:proofErr w:type="gramStart"/>
    <w:r w:rsidRPr="00F13564">
      <w:rPr>
        <w:b/>
        <w:sz w:val="12"/>
        <w:szCs w:val="12"/>
        <w:shd w:val="clear" w:color="auto" w:fill="FEFEFE"/>
        <w:lang w:val="ru-RU"/>
      </w:rPr>
      <w:t xml:space="preserve">Европейски  </w:t>
    </w:r>
    <w:proofErr w:type="spellStart"/>
    <w:r w:rsidRPr="00F13564">
      <w:rPr>
        <w:b/>
        <w:sz w:val="12"/>
        <w:szCs w:val="12"/>
        <w:shd w:val="clear" w:color="auto" w:fill="FEFEFE"/>
        <w:lang w:val="ru-RU"/>
      </w:rPr>
      <w:t>съюз</w:t>
    </w:r>
    <w:proofErr w:type="spellEnd"/>
    <w:proofErr w:type="gramEnd"/>
    <w:r w:rsidRPr="00F13564">
      <w:rPr>
        <w:b/>
        <w:sz w:val="12"/>
        <w:szCs w:val="12"/>
        <w:shd w:val="clear" w:color="auto" w:fill="FEFEFE"/>
        <w:lang w:val="ru-RU"/>
      </w:rPr>
      <w:t>“</w:t>
    </w:r>
  </w:p>
  <w:p w:rsidR="00695481" w:rsidRPr="00F13564" w:rsidRDefault="00695481" w:rsidP="00695481">
    <w:pPr>
      <w:widowControl w:val="0"/>
      <w:autoSpaceDE w:val="0"/>
      <w:autoSpaceDN w:val="0"/>
      <w:adjustRightInd w:val="0"/>
      <w:spacing w:line="240" w:lineRule="auto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695481" w:rsidRPr="00F13564" w:rsidRDefault="00695481" w:rsidP="00695481">
    <w:pPr>
      <w:widowControl w:val="0"/>
      <w:autoSpaceDE w:val="0"/>
      <w:autoSpaceDN w:val="0"/>
      <w:adjustRightInd w:val="0"/>
      <w:spacing w:line="240" w:lineRule="auto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695481" w:rsidRDefault="0069548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F96"/>
    <w:rsid w:val="00017DEF"/>
    <w:rsid w:val="0017132E"/>
    <w:rsid w:val="001B3BA7"/>
    <w:rsid w:val="001F3744"/>
    <w:rsid w:val="00272EE2"/>
    <w:rsid w:val="002B3C87"/>
    <w:rsid w:val="002C1AB0"/>
    <w:rsid w:val="003000DE"/>
    <w:rsid w:val="00382BD5"/>
    <w:rsid w:val="003C7766"/>
    <w:rsid w:val="004119AA"/>
    <w:rsid w:val="00492A15"/>
    <w:rsid w:val="004F59F4"/>
    <w:rsid w:val="00542E03"/>
    <w:rsid w:val="0060257F"/>
    <w:rsid w:val="0069372F"/>
    <w:rsid w:val="00695481"/>
    <w:rsid w:val="0072181B"/>
    <w:rsid w:val="007B52A5"/>
    <w:rsid w:val="007B6C64"/>
    <w:rsid w:val="009B23CB"/>
    <w:rsid w:val="00A45722"/>
    <w:rsid w:val="00A62C55"/>
    <w:rsid w:val="00AA74EE"/>
    <w:rsid w:val="00BD0137"/>
    <w:rsid w:val="00C077BD"/>
    <w:rsid w:val="00E12655"/>
    <w:rsid w:val="00E1623D"/>
    <w:rsid w:val="00E5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164CD7E"/>
  <w15:docId w15:val="{6796FB93-5CB2-4501-A501-E48E885F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F4"/>
  </w:style>
  <w:style w:type="paragraph" w:styleId="1">
    <w:name w:val="heading 1"/>
    <w:basedOn w:val="a"/>
    <w:next w:val="a"/>
    <w:link w:val="10"/>
    <w:uiPriority w:val="9"/>
    <w:qFormat/>
    <w:rsid w:val="004F59F4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F59F4"/>
    <w:rPr>
      <w:rFonts w:ascii="Times New Roman" w:eastAsiaTheme="majorEastAsia" w:hAnsi="Times New Roman" w:cstheme="majorBidi"/>
      <w:b/>
      <w:bCs/>
      <w:sz w:val="24"/>
      <w:szCs w:val="28"/>
    </w:rPr>
  </w:style>
  <w:style w:type="character" w:styleId="a3">
    <w:name w:val="Hyperlink"/>
    <w:basedOn w:val="a0"/>
    <w:uiPriority w:val="99"/>
    <w:unhideWhenUsed/>
    <w:rsid w:val="004F59F4"/>
    <w:rPr>
      <w:color w:val="0000FF" w:themeColor="hyperlink"/>
      <w:u w:val="single"/>
    </w:rPr>
  </w:style>
  <w:style w:type="table" w:customStyle="1" w:styleId="11">
    <w:name w:val="Мрежа в таблица1"/>
    <w:basedOn w:val="a1"/>
    <w:next w:val="a4"/>
    <w:uiPriority w:val="59"/>
    <w:rsid w:val="004F5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6"/>
    <w:uiPriority w:val="99"/>
    <w:semiHidden/>
    <w:unhideWhenUsed/>
    <w:rsid w:val="004F59F4"/>
    <w:pPr>
      <w:spacing w:after="0" w:line="240" w:lineRule="auto"/>
    </w:pPr>
    <w:rPr>
      <w:sz w:val="20"/>
      <w:szCs w:val="20"/>
    </w:rPr>
  </w:style>
  <w:style w:type="character" w:customStyle="1" w:styleId="a6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5"/>
    <w:uiPriority w:val="99"/>
    <w:semiHidden/>
    <w:rsid w:val="004F59F4"/>
    <w:rPr>
      <w:sz w:val="20"/>
      <w:szCs w:val="20"/>
    </w:rPr>
  </w:style>
  <w:style w:type="character" w:styleId="a7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4F59F4"/>
    <w:rPr>
      <w:vertAlign w:val="superscript"/>
    </w:rPr>
  </w:style>
  <w:style w:type="character" w:customStyle="1" w:styleId="ldef2">
    <w:name w:val="ldef2"/>
    <w:rsid w:val="004F59F4"/>
    <w:rPr>
      <w:rFonts w:cs="Times New Roman"/>
      <w:color w:val="FF0000"/>
    </w:rPr>
  </w:style>
  <w:style w:type="table" w:styleId="a4">
    <w:name w:val="Table Grid"/>
    <w:basedOn w:val="a1"/>
    <w:uiPriority w:val="59"/>
    <w:rsid w:val="004F5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unhideWhenUsed/>
    <w:rsid w:val="004F59F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4F59F4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rsid w:val="004F59F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F59F4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4F59F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F5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F59F4"/>
    <w:rPr>
      <w:rFonts w:ascii="Tahoma" w:hAnsi="Tahoma" w:cs="Tahoma"/>
      <w:sz w:val="16"/>
      <w:szCs w:val="16"/>
    </w:rPr>
  </w:style>
  <w:style w:type="character" w:customStyle="1" w:styleId="alcapt2">
    <w:name w:val="al_capt2"/>
    <w:rsid w:val="00272EE2"/>
    <w:rPr>
      <w:rFonts w:cs="Times New Roman"/>
      <w:i/>
      <w:iCs/>
    </w:rPr>
  </w:style>
  <w:style w:type="paragraph" w:styleId="af">
    <w:name w:val="header"/>
    <w:basedOn w:val="a"/>
    <w:link w:val="af0"/>
    <w:uiPriority w:val="99"/>
    <w:unhideWhenUsed/>
    <w:rsid w:val="00695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Горен колонтитул Знак"/>
    <w:basedOn w:val="a0"/>
    <w:link w:val="af"/>
    <w:uiPriority w:val="99"/>
    <w:rsid w:val="00695481"/>
  </w:style>
  <w:style w:type="paragraph" w:styleId="af1">
    <w:name w:val="footer"/>
    <w:basedOn w:val="a"/>
    <w:link w:val="af2"/>
    <w:uiPriority w:val="99"/>
    <w:unhideWhenUsed/>
    <w:rsid w:val="00695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2">
    <w:name w:val="Долен колонтитул Знак"/>
    <w:basedOn w:val="a0"/>
    <w:link w:val="af1"/>
    <w:uiPriority w:val="99"/>
    <w:rsid w:val="00695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528F-053E-42BD-94C6-0896E899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</dc:creator>
  <cp:keywords/>
  <dc:description/>
  <cp:lastModifiedBy>Windows User</cp:lastModifiedBy>
  <cp:revision>13</cp:revision>
  <dcterms:created xsi:type="dcterms:W3CDTF">2018-08-10T10:47:00Z</dcterms:created>
  <dcterms:modified xsi:type="dcterms:W3CDTF">2021-02-26T15:06:00Z</dcterms:modified>
</cp:coreProperties>
</file>